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W w:w="15457" w:type="dxa"/>
        <w:tblLayout w:type="fixed"/>
        <w:tblLook w:val="06A0" w:firstRow="1" w:lastRow="0" w:firstColumn="1" w:lastColumn="0" w:noHBand="1" w:noVBand="1"/>
      </w:tblPr>
      <w:tblGrid>
        <w:gridCol w:w="2115"/>
        <w:gridCol w:w="3109"/>
        <w:gridCol w:w="3285"/>
        <w:gridCol w:w="3379"/>
        <w:gridCol w:w="3569"/>
      </w:tblGrid>
      <w:tr w:rsidR="09A24DF4" w:rsidTr="25F7A419" w14:paraId="1D4CE8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="09A24DF4" w:rsidP="09A24DF4" w:rsidRDefault="09A24DF4" w14:paraId="560B7D5A" w14:textId="268E706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9" w:type="dxa"/>
            <w:tcMar/>
          </w:tcPr>
          <w:p w:rsidR="6EE2C3D3" w:rsidP="48CA0B1E" w:rsidRDefault="6EE2C3D3" w14:paraId="3A8452BD" w14:textId="380F6818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719396D4">
              <w:rPr>
                <w:sz w:val="24"/>
                <w:szCs w:val="24"/>
              </w:rPr>
              <w:t>Re</w:t>
            </w:r>
            <w:r w:rsidRPr="48CA0B1E" w:rsidR="78531F90">
              <w:rPr>
                <w:sz w:val="24"/>
                <w:szCs w:val="24"/>
              </w:rPr>
              <w:t>commend for award</w:t>
            </w:r>
          </w:p>
          <w:p w:rsidR="1BAA765C" w:rsidP="48CA0B1E" w:rsidRDefault="1BAA765C" w14:paraId="10301F51" w14:textId="6177FE64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78531F90">
              <w:rPr>
                <w:sz w:val="24"/>
                <w:szCs w:val="24"/>
              </w:rPr>
              <w:t>[Outstanding case]</w:t>
            </w:r>
          </w:p>
          <w:p w:rsidR="1BAA765C" w:rsidP="48CA0B1E" w:rsidRDefault="1BAA765C" w14:paraId="347CBFA0" w14:textId="6026CB43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78531F90">
              <w:rPr>
                <w:sz w:val="24"/>
                <w:szCs w:val="24"/>
              </w:rPr>
              <w:t>(</w:t>
            </w:r>
            <w:r w:rsidRPr="48CA0B1E" w:rsidR="06B69152">
              <w:rPr>
                <w:sz w:val="24"/>
                <w:szCs w:val="24"/>
              </w:rPr>
              <w:t>3</w:t>
            </w:r>
            <w:r w:rsidRPr="48CA0B1E" w:rsidR="78531F90">
              <w:rPr>
                <w:sz w:val="24"/>
                <w:szCs w:val="24"/>
              </w:rPr>
              <w:t xml:space="preserve"> points)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Mar/>
          </w:tcPr>
          <w:p w:rsidR="1BAA765C" w:rsidP="48CA0B1E" w:rsidRDefault="1BAA765C" w14:paraId="26C041E8" w14:textId="380F6818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78531F90">
              <w:rPr>
                <w:sz w:val="24"/>
                <w:szCs w:val="24"/>
              </w:rPr>
              <w:t>Recommend for award</w:t>
            </w:r>
          </w:p>
          <w:p w:rsidR="1BAA765C" w:rsidP="48CA0B1E" w:rsidRDefault="1BAA765C" w14:paraId="431395F2" w14:textId="44FD9621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78531F90">
              <w:rPr>
                <w:sz w:val="24"/>
                <w:szCs w:val="24"/>
              </w:rPr>
              <w:t>[</w:t>
            </w:r>
            <w:r w:rsidRPr="48CA0B1E" w:rsidR="4F17D2DB">
              <w:rPr>
                <w:sz w:val="24"/>
                <w:szCs w:val="24"/>
              </w:rPr>
              <w:t>Strong</w:t>
            </w:r>
            <w:r w:rsidRPr="48CA0B1E" w:rsidR="78531F90">
              <w:rPr>
                <w:sz w:val="24"/>
                <w:szCs w:val="24"/>
              </w:rPr>
              <w:t xml:space="preserve"> case]</w:t>
            </w:r>
          </w:p>
          <w:p w:rsidR="1BAA765C" w:rsidP="48CA0B1E" w:rsidRDefault="1BAA765C" w14:paraId="298A3671" w14:textId="44AE2135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78531F90">
              <w:rPr>
                <w:sz w:val="24"/>
                <w:szCs w:val="24"/>
              </w:rPr>
              <w:t>(</w:t>
            </w:r>
            <w:r w:rsidRPr="48CA0B1E" w:rsidR="5250DCBA">
              <w:rPr>
                <w:sz w:val="24"/>
                <w:szCs w:val="24"/>
              </w:rPr>
              <w:t>2</w:t>
            </w:r>
            <w:r w:rsidRPr="48CA0B1E" w:rsidR="78531F90">
              <w:rPr>
                <w:sz w:val="24"/>
                <w:szCs w:val="24"/>
              </w:rPr>
              <w:t xml:space="preserve"> points)</w:t>
            </w:r>
          </w:p>
          <w:p w:rsidR="09A24DF4" w:rsidP="48CA0B1E" w:rsidRDefault="09A24DF4" w14:paraId="25B20A6F" w14:textId="2026D9CE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79" w:type="dxa"/>
            <w:tcMar/>
          </w:tcPr>
          <w:p w:rsidR="0B4CFC8B" w:rsidP="48CA0B1E" w:rsidRDefault="0B4CFC8B" w14:paraId="469F5154" w14:textId="65045D13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6C96E439">
              <w:rPr>
                <w:sz w:val="24"/>
                <w:szCs w:val="24"/>
              </w:rPr>
              <w:t>May consider for award</w:t>
            </w:r>
          </w:p>
          <w:p w:rsidR="0B4CFC8B" w:rsidP="48CA0B1E" w:rsidRDefault="0B4CFC8B" w14:paraId="21FFFB66" w14:textId="46C924EC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6C96E439">
              <w:rPr>
                <w:sz w:val="24"/>
                <w:szCs w:val="24"/>
              </w:rPr>
              <w:t>[Average case]</w:t>
            </w:r>
          </w:p>
          <w:p w:rsidR="0B4CFC8B" w:rsidP="48CA0B1E" w:rsidRDefault="0B4CFC8B" w14:paraId="2FA552A9" w14:textId="442BC251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6C96E439">
              <w:rPr>
                <w:sz w:val="24"/>
                <w:szCs w:val="24"/>
              </w:rPr>
              <w:t>(1 points)</w:t>
            </w:r>
          </w:p>
          <w:p w:rsidR="09A24DF4" w:rsidP="48CA0B1E" w:rsidRDefault="09A24DF4" w14:paraId="0C0683A2" w14:textId="10A2639A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69" w:type="dxa"/>
            <w:tcMar/>
          </w:tcPr>
          <w:p w:rsidR="0B4CFC8B" w:rsidP="48CA0B1E" w:rsidRDefault="0B4CFC8B" w14:paraId="446514D3" w14:textId="5874B38C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6C96E439">
              <w:rPr>
                <w:sz w:val="24"/>
                <w:szCs w:val="24"/>
              </w:rPr>
              <w:t>Do not recommend for award</w:t>
            </w:r>
          </w:p>
          <w:p w:rsidR="0B4CFC8B" w:rsidP="48CA0B1E" w:rsidRDefault="0B4CFC8B" w14:paraId="1DD5E95B" w14:textId="649E830D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6C96E439">
              <w:rPr>
                <w:sz w:val="24"/>
                <w:szCs w:val="24"/>
              </w:rPr>
              <w:t>[Insufficient case]</w:t>
            </w:r>
          </w:p>
          <w:p w:rsidR="0B4CFC8B" w:rsidP="48CA0B1E" w:rsidRDefault="0B4CFC8B" w14:paraId="5F84CD3C" w14:textId="40A61493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8CA0B1E" w:rsidR="6C96E439">
              <w:rPr>
                <w:sz w:val="24"/>
                <w:szCs w:val="24"/>
              </w:rPr>
              <w:t>(0 points)</w:t>
            </w:r>
          </w:p>
          <w:p w:rsidR="09A24DF4" w:rsidP="48CA0B1E" w:rsidRDefault="09A24DF4" w14:paraId="6E0C0C8F" w14:textId="5A2E9C6E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9A24DF4" w:rsidTr="25F7A419" w14:paraId="6DD6FA0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Pr="00702321" w:rsidR="47070A67" w:rsidP="25F7A419" w:rsidRDefault="00702321" w14:paraId="3F5DA20A" w14:textId="1E5C0EA0">
            <w:pPr>
              <w:pStyle w:val="Normal"/>
              <w:ind/>
              <w:rPr>
                <w:rFonts w:ascii="Calibri" w:hAnsi="Calibri" w:eastAsia="Arial" w:cs="Calibri"/>
                <w:noProof w:val="0"/>
                <w:sz w:val="24"/>
                <w:szCs w:val="24"/>
                <w:lang w:val="en-GB"/>
              </w:rPr>
            </w:pPr>
            <w:r w:rsidRPr="25F7A419" w:rsidR="495CA234">
              <w:rPr>
                <w:rFonts w:ascii="Calibri" w:hAnsi="Calibri" w:eastAsia="Arial" w:cs="Calibri"/>
                <w:sz w:val="24"/>
                <w:szCs w:val="24"/>
              </w:rPr>
              <w:t xml:space="preserve">1. </w:t>
            </w:r>
            <w:r w:rsidRPr="25F7A419" w:rsidR="6B67AEC4">
              <w:rPr>
                <w:rFonts w:ascii="Calibri" w:hAnsi="Calibri" w:eastAsia="Arial" w:cs="Calibri"/>
                <w:sz w:val="24"/>
                <w:szCs w:val="24"/>
              </w:rPr>
              <w:t xml:space="preserve">Aligns with one or more </w:t>
            </w:r>
            <w:r w:rsidRPr="25F7A419" w:rsidR="6B67AEC4">
              <w:rPr>
                <w:rFonts w:ascii="Calibri" w:hAnsi="Calibri" w:eastAsia="Arial" w:cs="Calibri"/>
                <w:sz w:val="24"/>
                <w:szCs w:val="24"/>
              </w:rPr>
              <w:t>objectives</w:t>
            </w:r>
            <w:r w:rsidRPr="25F7A419" w:rsidR="6B67AEC4">
              <w:rPr>
                <w:rFonts w:ascii="Calibri" w:hAnsi="Calibri" w:eastAsia="Arial" w:cs="Calibri"/>
                <w:sz w:val="24"/>
                <w:szCs w:val="24"/>
              </w:rPr>
              <w:t xml:space="preserve"> of the legacy St </w:t>
            </w:r>
            <w:r w:rsidRPr="25F7A419" w:rsidR="6B67AEC4">
              <w:rPr>
                <w:rFonts w:ascii="Calibri" w:hAnsi="Calibri" w:eastAsia="Arial" w:cs="Calibri"/>
                <w:sz w:val="24"/>
                <w:szCs w:val="24"/>
              </w:rPr>
              <w:t>George’s</w:t>
            </w:r>
            <w:r w:rsidRPr="25F7A419" w:rsidR="6B67AEC4">
              <w:rPr>
                <w:rFonts w:ascii="Calibri" w:hAnsi="Calibri" w:eastAsia="Arial" w:cs="Calibri"/>
                <w:color w:val="FFFFFF" w:themeColor="background1" w:themeTint="FF" w:themeShade="FF"/>
                <w:sz w:val="24"/>
                <w:szCs w:val="24"/>
              </w:rPr>
              <w:t xml:space="preserve">  </w:t>
            </w:r>
            <w:hyperlink r:id="R48aa1e63d6ce47aa">
              <w:r w:rsidRPr="25F7A419" w:rsidR="6B67AEC4">
                <w:rPr>
                  <w:rStyle w:val="Hyperlink"/>
                  <w:rFonts w:ascii="Calibri" w:hAnsi="Calibri" w:eastAsia="Arial" w:cs="Calibri"/>
                  <w:color w:val="FFFFFF" w:themeColor="background1" w:themeTint="FF" w:themeShade="FF"/>
                  <w:sz w:val="24"/>
                  <w:szCs w:val="24"/>
                </w:rPr>
                <w:t>Inclusive</w:t>
              </w:r>
              <w:r w:rsidRPr="25F7A419" w:rsidR="6B67AEC4">
                <w:rPr>
                  <w:rStyle w:val="Hyperlink"/>
                  <w:rFonts w:ascii="Calibri" w:hAnsi="Calibri" w:eastAsia="Arial" w:cs="Calibri"/>
                  <w:color w:val="FFFFFF" w:themeColor="background1" w:themeTint="FF" w:themeShade="FF"/>
                  <w:sz w:val="24"/>
                  <w:szCs w:val="24"/>
                </w:rPr>
                <w:t xml:space="preserve"> Education Framework</w:t>
              </w:r>
            </w:hyperlink>
            <w:r w:rsidRPr="25F7A419" w:rsidR="6B67AEC4">
              <w:rPr>
                <w:rFonts w:ascii="Calibri" w:hAnsi="Calibri" w:eastAsia="Arial" w:cs="Calibri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25F7A419" w:rsidR="6B67AEC4">
              <w:rPr>
                <w:rFonts w:ascii="Calibri" w:hAnsi="Calibri" w:eastAsia="Arial" w:cs="Calibri"/>
                <w:sz w:val="24"/>
                <w:szCs w:val="24"/>
              </w:rPr>
              <w:t>and/or one more theme in the</w:t>
            </w:r>
            <w:r w:rsidRPr="25F7A419" w:rsidR="6B67AEC4">
              <w:rPr>
                <w:rFonts w:ascii="Calibri" w:hAnsi="Calibri" w:eastAsia="Arial" w:cs="Calibri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hyperlink r:id="Rcf8ad45e1bfe43ba">
              <w:r w:rsidRPr="25F7A419" w:rsidR="6B67AEC4">
                <w:rPr>
                  <w:rStyle w:val="Hyperlink"/>
                  <w:rFonts w:ascii="Calibri" w:hAnsi="Calibri" w:eastAsia="Arial" w:cs="Calibri"/>
                  <w:color w:val="FFFFFF" w:themeColor="background1" w:themeTint="FF" w:themeShade="FF"/>
                  <w:sz w:val="24"/>
                  <w:szCs w:val="24"/>
                </w:rPr>
                <w:t xml:space="preserve">legacy City </w:t>
              </w:r>
              <w:r w:rsidRPr="25F7A419" w:rsidR="6B67AEC4">
                <w:rPr>
                  <w:rStyle w:val="Hyperlink"/>
                  <w:rFonts w:ascii="Calibri" w:hAnsi="Calibri" w:eastAsia="Arial" w:cs="Calibri"/>
                  <w:color w:val="FFFFFF" w:themeColor="background1" w:themeTint="FF" w:themeShade="FF"/>
                  <w:sz w:val="24"/>
                  <w:szCs w:val="24"/>
                </w:rPr>
                <w:t>Inclusive Practice Framework</w:t>
              </w:r>
            </w:hyperlink>
            <w:r w:rsidRPr="25F7A419" w:rsidR="6B67AEC4">
              <w:rPr>
                <w:rFonts w:ascii="Calibri" w:hAnsi="Calibri" w:eastAsia="Arial" w:cs="Calibri"/>
                <w:color w:val="FFFFFF" w:themeColor="background1" w:themeTint="FF" w:themeShade="FF"/>
                <w:sz w:val="24"/>
                <w:szCs w:val="24"/>
              </w:rPr>
              <w:t>.</w:t>
            </w:r>
            <w:r w:rsidRPr="25F7A419" w:rsidR="6B67AEC4">
              <w:rPr>
                <w:rFonts w:ascii="Calibri" w:hAnsi="Calibri" w:eastAsia="Arial" w:cs="Calibri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25F7A419" w:rsidR="6B67AEC4">
              <w:rPr>
                <w:rFonts w:ascii="Calibri" w:hAnsi="Calibri" w:eastAsia="Arial" w:cs="Calibri"/>
                <w:color w:val="FFFFFF" w:themeColor="background1" w:themeTint="FF" w:themeShade="FF"/>
                <w:sz w:val="24"/>
                <w:szCs w:val="24"/>
              </w:rPr>
              <w:t>Applications</w:t>
            </w:r>
            <w:r w:rsidRPr="25F7A419" w:rsidR="6B67AEC4">
              <w:rPr>
                <w:rFonts w:ascii="Calibri" w:hAnsi="Calibri" w:eastAsia="Arial" w:cs="Calibri"/>
                <w:sz w:val="24"/>
                <w:szCs w:val="24"/>
              </w:rPr>
              <w:t xml:space="preserve"> addressing other university priorities, such as sustainability and interdisciplinary, will also be considered</w:t>
            </w:r>
          </w:p>
          <w:p w:rsidR="09A24DF4" w:rsidP="438BE8AB" w:rsidRDefault="09A24DF4" w14:paraId="63D59ABF" w14:textId="65727FFF">
            <w:pPr>
              <w:rPr>
                <w:highlight w:val="yellow"/>
              </w:rPr>
            </w:pPr>
          </w:p>
          <w:p w:rsidR="09A24DF4" w:rsidP="438BE8AB" w:rsidRDefault="09A24DF4" w14:paraId="09FE53D1" w14:textId="4810A9F2">
            <w:pPr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9" w:type="dxa"/>
            <w:tcMar/>
          </w:tcPr>
          <w:p w:rsidR="09A24DF4" w:rsidP="25F7A419" w:rsidRDefault="00702321" w14:paraId="05D30A08" w14:textId="1C7B49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</w:pPr>
            <w:r w:rsidRPr="25F7A419" w:rsidR="268E5699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 xml:space="preserve">The project </w:t>
            </w:r>
            <w:r w:rsidRPr="25F7A419" w:rsidR="268E5699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>demonstrates</w:t>
            </w:r>
            <w:r w:rsidRPr="25F7A419" w:rsidR="268E5699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 xml:space="preserve"> a deep and comprehensive alignment wit</w:t>
            </w:r>
            <w:r w:rsidRPr="25F7A419" w:rsidR="268E5699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 xml:space="preserve">h </w:t>
            </w:r>
            <w:r w:rsidRPr="25F7A419" w:rsidR="59188DA9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 xml:space="preserve">one or more </w:t>
            </w:r>
            <w:r w:rsidRPr="25F7A419" w:rsidR="5388E951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>objective</w:t>
            </w:r>
            <w:r w:rsidRPr="25F7A419" w:rsidR="268E5699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 xml:space="preserve"> of </w:t>
            </w:r>
            <w:r w:rsidRPr="25F7A419" w:rsidR="1EE994B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the legacy St George’s</w:t>
            </w:r>
            <w:r w:rsidRPr="25F7A419" w:rsidR="1EE994B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 </w:t>
            </w:r>
            <w:hyperlink r:id="R71ccad48e28c4bd6">
              <w:r w:rsidRPr="25F7A419" w:rsidR="1EE994B1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color w:val="auto"/>
                  <w:sz w:val="24"/>
                  <w:szCs w:val="24"/>
                </w:rPr>
                <w:t>Inclusive Education Framework</w:t>
              </w:r>
            </w:hyperlink>
            <w:r w:rsidRPr="25F7A419" w:rsidR="1EE994B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</w:t>
            </w:r>
            <w:r w:rsidRPr="25F7A419" w:rsidR="1EE994B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and/or one more theme in the</w:t>
            </w:r>
            <w:r w:rsidRPr="25F7A419" w:rsidR="1EE994B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</w:t>
            </w:r>
            <w:hyperlink r:id="R9a0ab64fe0bf443a">
              <w:r w:rsidRPr="25F7A419" w:rsidR="1EE994B1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color w:val="auto"/>
                  <w:sz w:val="24"/>
                  <w:szCs w:val="24"/>
                </w:rPr>
                <w:t>legacy City Inclusive Practice Framework,</w:t>
              </w:r>
            </w:hyperlink>
            <w:r w:rsidRPr="25F7A419" w:rsidR="1EE994B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o</w:t>
            </w:r>
            <w:r w:rsidRPr="25F7A419" w:rsidR="0BA98C1D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r other university priorities.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Mar/>
          </w:tcPr>
          <w:p w:rsidR="09A24DF4" w:rsidP="25F7A419" w:rsidRDefault="00702321" w14:paraId="78E03BE9" w14:textId="5A24D2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</w:pPr>
            <w:r w:rsidRPr="25F7A419" w:rsidR="268E5699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The project aligns well with </w:t>
            </w:r>
            <w:r w:rsidRPr="25F7A419" w:rsidR="4BA6C382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 xml:space="preserve">one or more objective of </w:t>
            </w:r>
            <w:r w:rsidRPr="25F7A419" w:rsidR="4D32ED9C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the legacy St George’s  </w:t>
            </w:r>
            <w:hyperlink r:id="R55c6429ffad54ee3">
              <w:r w:rsidRPr="25F7A419" w:rsidR="4D32ED9C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color w:val="auto"/>
                  <w:sz w:val="24"/>
                  <w:szCs w:val="24"/>
                </w:rPr>
                <w:t>Inclusive Education Framework</w:t>
              </w:r>
            </w:hyperlink>
            <w:r w:rsidRPr="25F7A419" w:rsidR="4D32ED9C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and/or one more theme in the </w:t>
            </w:r>
            <w:hyperlink r:id="Re4538a9d41494527">
              <w:r w:rsidRPr="25F7A419" w:rsidR="4D32ED9C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color w:val="auto"/>
                  <w:sz w:val="24"/>
                  <w:szCs w:val="24"/>
                </w:rPr>
                <w:t>legacy City Inclusive Practice Framework,</w:t>
              </w:r>
            </w:hyperlink>
            <w:r w:rsidRPr="25F7A419" w:rsidR="4D32ED9C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o</w:t>
            </w:r>
            <w:r w:rsidRPr="25F7A419" w:rsidR="4BA6C382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r other university priorities.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79" w:type="dxa"/>
            <w:tcMar/>
          </w:tcPr>
          <w:p w:rsidR="09A24DF4" w:rsidP="25F7A419" w:rsidRDefault="5FEAC594" w14:paraId="54EC0C54" w14:textId="351322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F7A419" w:rsidR="380C28D2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The project partially aligns with </w:t>
            </w:r>
            <w:r w:rsidRPr="25F7A419" w:rsidR="06D25981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 xml:space="preserve">one or more objective of </w:t>
            </w:r>
            <w:r w:rsidRPr="25F7A419" w:rsidR="7D4DCA9C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the legacy St George’s  </w:t>
            </w:r>
            <w:hyperlink r:id="Rb5c4bac8083d4f1d">
              <w:r w:rsidRPr="25F7A419" w:rsidR="7D4DCA9C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color w:val="auto"/>
                  <w:sz w:val="24"/>
                  <w:szCs w:val="24"/>
                </w:rPr>
                <w:t>Inclusive Education Framework</w:t>
              </w:r>
            </w:hyperlink>
            <w:r w:rsidRPr="25F7A419" w:rsidR="7D4DCA9C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and/or one more theme in the </w:t>
            </w:r>
            <w:hyperlink r:id="R0fd392e3f3d248d1">
              <w:r w:rsidRPr="25F7A419" w:rsidR="7D4DCA9C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color w:val="auto"/>
                  <w:sz w:val="24"/>
                  <w:szCs w:val="24"/>
                </w:rPr>
                <w:t>legacy City Inclusive Practice Framework,</w:t>
              </w:r>
            </w:hyperlink>
            <w:r w:rsidRPr="25F7A419" w:rsidR="0292B346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</w:t>
            </w:r>
            <w:r w:rsidRPr="25F7A419" w:rsidR="01966348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o</w:t>
            </w:r>
            <w:r w:rsidRPr="25F7A419" w:rsidR="06D25981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>r other university priorities.</w:t>
            </w:r>
            <w:r w:rsidRPr="25F7A419" w:rsidR="2C5DB6D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25F7A419" w:rsidR="380C28D2">
              <w:rPr>
                <w:rFonts w:ascii="Aptos" w:hAnsi="Aptos" w:eastAsia="Aptos" w:cs="Aptos" w:asciiTheme="minorAscii" w:hAnsiTheme="minorAscii" w:eastAsiaTheme="minorAscii" w:cstheme="minorAscii"/>
              </w:rPr>
              <w:t>but lacks depth and innovation in inclusive education approaches.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69" w:type="dxa"/>
            <w:tcMar/>
          </w:tcPr>
          <w:p w:rsidR="09A24DF4" w:rsidP="25F7A419" w:rsidRDefault="5FEAC594" w14:paraId="138487F0" w14:textId="31FDE4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25F7A419" w:rsidR="380C28D2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The project minimally aligns with the </w:t>
            </w:r>
            <w:r w:rsidRPr="25F7A419" w:rsidR="417C7B0D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>objective</w:t>
            </w:r>
            <w:r w:rsidRPr="25F7A419" w:rsidR="417C7B0D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 xml:space="preserve"> of </w:t>
            </w:r>
            <w:r w:rsidRPr="25F7A419" w:rsidR="6A93A8C5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the legacy St George’s  </w:t>
            </w:r>
            <w:hyperlink r:id="R23513826645e4d71">
              <w:r w:rsidRPr="25F7A419" w:rsidR="6A93A8C5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color w:val="auto"/>
                  <w:sz w:val="24"/>
                  <w:szCs w:val="24"/>
                </w:rPr>
                <w:t>Inclusive Education Framework</w:t>
              </w:r>
            </w:hyperlink>
            <w:r w:rsidRPr="25F7A419" w:rsidR="6A93A8C5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and/or one more theme in the </w:t>
            </w:r>
            <w:hyperlink r:id="R1966d37fafd84f5e">
              <w:r w:rsidRPr="25F7A419" w:rsidR="6A93A8C5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color w:val="auto"/>
                  <w:sz w:val="24"/>
                  <w:szCs w:val="24"/>
                </w:rPr>
                <w:t>legacy City Inclusive Practice Framework,</w:t>
              </w:r>
            </w:hyperlink>
            <w:r w:rsidRPr="25F7A419" w:rsidR="417C7B0D">
              <w:rPr>
                <w:rFonts w:ascii="Aptos" w:hAnsi="Aptos" w:eastAsia="Aptos" w:cs="Aptos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or other university priorities</w:t>
            </w:r>
            <w:r w:rsidRPr="25F7A419" w:rsidR="380C28D2">
              <w:rPr>
                <w:rFonts w:ascii="Aptos" w:hAnsi="Aptos" w:eastAsia="Aptos" w:cs="Aptos" w:asciiTheme="minorAscii" w:hAnsiTheme="minorAscii" w:eastAsiaTheme="minorAscii" w:cstheme="minorAscii"/>
              </w:rPr>
              <w:t>, showing a lack of understanding and ineffective incorporation of inclusive practices.</w:t>
            </w:r>
          </w:p>
        </w:tc>
      </w:tr>
      <w:tr w:rsidR="09A24DF4" w:rsidTr="25F7A419" w14:paraId="49BEAF7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Pr="00702321" w:rsidR="47070A67" w:rsidP="48CA0B1E" w:rsidRDefault="1D4A21F3" w14:paraId="45A2030A" w14:textId="6F194735">
            <w:pPr>
              <w:rPr>
                <w:rFonts w:ascii="Calibri" w:hAnsi="Calibri" w:eastAsia="Arial" w:cs="Calibri"/>
                <w:sz w:val="24"/>
                <w:szCs w:val="24"/>
              </w:rPr>
            </w:pPr>
            <w:r w:rsidRPr="438BE8AB" w:rsidR="588F0A8F">
              <w:rPr>
                <w:rFonts w:ascii="Calibri" w:hAnsi="Calibri" w:eastAsia="Arial" w:cs="Calibri"/>
                <w:sz w:val="24"/>
                <w:szCs w:val="24"/>
              </w:rPr>
              <w:t xml:space="preserve">2. </w:t>
            </w:r>
            <w:r w:rsidRPr="438BE8AB" w:rsidR="10D967A2">
              <w:rPr>
                <w:rFonts w:ascii="Calibri" w:hAnsi="Calibri" w:eastAsia="Arial" w:cs="Calibri"/>
                <w:sz w:val="24"/>
                <w:szCs w:val="24"/>
              </w:rPr>
              <w:t>A</w:t>
            </w:r>
            <w:r w:rsidRPr="438BE8AB" w:rsidR="7A7B6D39">
              <w:rPr>
                <w:rFonts w:ascii="Calibri" w:hAnsi="Calibri" w:eastAsia="Arial" w:cs="Calibri"/>
                <w:sz w:val="24"/>
                <w:szCs w:val="24"/>
              </w:rPr>
              <w:t xml:space="preserve">rticulates the need for the project, the planned output(s), and how there will be a sustainable legacy for the </w:t>
            </w:r>
            <w:r w:rsidRPr="438BE8AB" w:rsidR="30F95703">
              <w:rPr>
                <w:rFonts w:ascii="Calibri" w:hAnsi="Calibri" w:eastAsia="Arial" w:cs="Calibri"/>
                <w:sz w:val="24"/>
                <w:szCs w:val="24"/>
              </w:rPr>
              <w:t>school.</w:t>
            </w:r>
          </w:p>
          <w:p w:rsidR="09A24DF4" w:rsidP="09A24DF4" w:rsidRDefault="09A24DF4" w14:paraId="66E7C734" w14:textId="3E764213"/>
          <w:p w:rsidR="09A24DF4" w:rsidP="09A24DF4" w:rsidRDefault="09A24DF4" w14:paraId="47537971" w14:textId="7625B1E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9" w:type="dxa"/>
            <w:tcMar/>
          </w:tcPr>
          <w:p w:rsidR="09A24DF4" w:rsidP="2E3C947F" w:rsidRDefault="002C133A" w14:paraId="565B5772" w14:textId="2A1DCB2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61FA96F">
              <w:rPr/>
              <w:t xml:space="preserve">The application convincingly </w:t>
            </w:r>
            <w:r w:rsidR="161FA96F">
              <w:rPr/>
              <w:t>identifies</w:t>
            </w:r>
            <w:r w:rsidR="161FA96F">
              <w:rPr/>
              <w:t xml:space="preserve"> </w:t>
            </w:r>
            <w:r w:rsidR="448FE190">
              <w:rPr/>
              <w:t xml:space="preserve">and explains </w:t>
            </w:r>
            <w:r w:rsidR="161FA96F">
              <w:rPr/>
              <w:t>a</w:t>
            </w:r>
            <w:r w:rsidR="161FA96F">
              <w:rPr/>
              <w:t xml:space="preserve"> </w:t>
            </w:r>
            <w:r w:rsidR="5DE7BC65">
              <w:rPr/>
              <w:t>compelling</w:t>
            </w:r>
            <w:r w:rsidR="161FA96F">
              <w:rPr/>
              <w:t xml:space="preserve"> need, presents impactful outputs, and </w:t>
            </w:r>
            <w:r w:rsidR="08C6B318">
              <w:rPr/>
              <w:t>articulates a clear strategy for a</w:t>
            </w:r>
            <w:r w:rsidR="161FA96F">
              <w:rPr/>
              <w:t xml:space="preserve"> sustainable</w:t>
            </w:r>
            <w:r w:rsidR="3F5E186F">
              <w:rPr/>
              <w:t xml:space="preserve"> </w:t>
            </w:r>
            <w:r w:rsidR="09EC286F">
              <w:rPr/>
              <w:t>legacy.</w:t>
            </w:r>
          </w:p>
          <w:p w:rsidR="00611236" w:rsidP="2E3C947F" w:rsidRDefault="00611236" w14:paraId="0D964373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611236" w:rsidR="00611236" w:rsidP="2E3C947F" w:rsidRDefault="00611236" w14:paraId="68BD34CA" w14:textId="1F47AE37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Mar/>
          </w:tcPr>
          <w:p w:rsidR="09A24DF4" w:rsidP="2E3C947F" w:rsidRDefault="002C133A" w14:paraId="14E74B62" w14:textId="785E99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61FA96F">
              <w:rPr/>
              <w:t xml:space="preserve">The </w:t>
            </w:r>
            <w:r w:rsidR="30D83577">
              <w:rPr/>
              <w:t xml:space="preserve">application </w:t>
            </w:r>
            <w:r w:rsidR="3EF6F6D8">
              <w:rPr/>
              <w:t>explains</w:t>
            </w:r>
            <w:r w:rsidR="673A38E4">
              <w:rPr/>
              <w:t xml:space="preserve"> </w:t>
            </w:r>
            <w:r w:rsidR="161FA96F">
              <w:rPr/>
              <w:t xml:space="preserve">the </w:t>
            </w:r>
            <w:r w:rsidR="484E0A8E">
              <w:rPr/>
              <w:t xml:space="preserve">identified </w:t>
            </w:r>
            <w:r w:rsidR="161FA96F">
              <w:rPr/>
              <w:t xml:space="preserve">need, outlines </w:t>
            </w:r>
            <w:r w:rsidR="09FE2E6E">
              <w:rPr/>
              <w:t xml:space="preserve">the </w:t>
            </w:r>
            <w:r w:rsidR="161FA96F">
              <w:rPr/>
              <w:t xml:space="preserve">planned outputs, and </w:t>
            </w:r>
            <w:r w:rsidR="09D6280E">
              <w:rPr/>
              <w:t>reflects on how the project’s legacy will be sustained</w:t>
            </w:r>
            <w:r w:rsidR="39E63437">
              <w:rPr/>
              <w:t>.</w:t>
            </w:r>
          </w:p>
          <w:p w:rsidR="00611236" w:rsidP="2E3C947F" w:rsidRDefault="00611236" w14:paraId="24DEB440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236" w:rsidP="2E3C947F" w:rsidRDefault="00611236" w14:paraId="74B402C8" w14:textId="040C5A2D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1236" w:rsidP="2E3C947F" w:rsidRDefault="00611236" w14:paraId="2D17C469" w14:textId="0BBE17EC" w14:noSpellErr="1">
            <w:pPr>
              <w:pStyle w:val="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79" w:type="dxa"/>
            <w:tcMar/>
          </w:tcPr>
          <w:p w:rsidR="09A24DF4" w:rsidP="2E3C947F" w:rsidRDefault="406C348B" w14:paraId="163ADBC8" w14:textId="6818DB23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C9FD8B0">
              <w:rPr/>
              <w:t xml:space="preserve">The application </w:t>
            </w:r>
            <w:r w:rsidR="0C9FD8B0">
              <w:rPr/>
              <w:t>identifies</w:t>
            </w:r>
            <w:r w:rsidR="0C9FD8B0">
              <w:rPr/>
              <w:t xml:space="preserve"> a need, presents planned outputs, and outlines a sustainability strategy, but lacks strong conviction or depth in addressing the identified need and ensuring long-term impact.</w:t>
            </w:r>
          </w:p>
          <w:p w:rsidR="09A24DF4" w:rsidP="2E3C947F" w:rsidRDefault="09A24DF4" w14:paraId="02087D80" w14:textId="3A327303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9A24DF4" w:rsidP="2E3C947F" w:rsidRDefault="09A24DF4" w14:paraId="63EBB2FA" w14:textId="14E15D57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9A24DF4" w:rsidP="2E3C947F" w:rsidRDefault="6E61A84F" w14:paraId="3E6CDF9B" w14:textId="672F671B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69" w:type="dxa"/>
            <w:tcMar/>
          </w:tcPr>
          <w:p w:rsidR="09A24DF4" w:rsidP="2E3C947F" w:rsidRDefault="406C348B" w14:paraId="350F540E" w14:textId="790531E9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C9FD8B0">
              <w:rPr/>
              <w:t xml:space="preserve">The application inadequately </w:t>
            </w:r>
            <w:r w:rsidR="0C9FD8B0">
              <w:rPr/>
              <w:t>identifies</w:t>
            </w:r>
            <w:r w:rsidR="0C9FD8B0">
              <w:rPr/>
              <w:t xml:space="preserve"> the need, lacks clarity in planned outputs, and provides an unsustainable strategy, </w:t>
            </w:r>
            <w:r w:rsidR="0C9FD8B0">
              <w:rPr/>
              <w:t>indicating</w:t>
            </w:r>
            <w:r w:rsidR="0C9FD8B0">
              <w:rPr/>
              <w:t xml:space="preserve"> a limited understanding of the project's long-term impact and effectiveness.</w:t>
            </w:r>
          </w:p>
          <w:p w:rsidR="09A24DF4" w:rsidP="2E3C947F" w:rsidRDefault="09A24DF4" w14:paraId="38F8C9E7" w14:textId="6B3111BC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9A24DF4" w:rsidP="2E3C947F" w:rsidRDefault="6638D3CC" w14:paraId="2DEFCA7D" w14:textId="68385E19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9A24DF4" w:rsidTr="25F7A419" w14:paraId="63707B8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Pr="00702321" w:rsidR="09A24DF4" w:rsidP="48CA0B1E" w:rsidRDefault="1D4A21F3" w14:paraId="2E8C3DDC" w14:textId="517062F6">
            <w:pPr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25F7A419" w:rsidR="265D1EE1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3. </w:t>
            </w:r>
            <w:r w:rsidRPr="25F7A419" w:rsidR="7F1904B5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Demonstrates clear plans for, and commitment to, joint working between students and staff to achieve the planned outputs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9" w:type="dxa"/>
            <w:tcMar/>
          </w:tcPr>
          <w:p w:rsidR="00702321" w:rsidP="48CA0B1E" w:rsidRDefault="00702321" w14:paraId="2925BB49" w14:textId="4A8EDE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B008B7A">
              <w:rPr/>
              <w:t xml:space="preserve">The project design </w:t>
            </w:r>
            <w:r w:rsidR="5B008B7A">
              <w:rPr/>
              <w:t>demonstrates</w:t>
            </w:r>
            <w:r w:rsidR="5B008B7A">
              <w:rPr/>
              <w:t xml:space="preserve"> exceptional</w:t>
            </w:r>
            <w:r w:rsidR="3EE952FC">
              <w:rPr/>
              <w:t xml:space="preserve">, </w:t>
            </w:r>
            <w:r w:rsidRPr="25F7A419" w:rsidR="727F3AB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clear plans for, and commitment to, joint working</w:t>
            </w:r>
            <w:r w:rsidR="5B008B7A">
              <w:rPr/>
              <w:t xml:space="preserve"> between students and staff, </w:t>
            </w:r>
            <w:r w:rsidR="5B008B7A">
              <w:rPr/>
              <w:t>leveraging</w:t>
            </w:r>
            <w:r w:rsidR="5B008B7A">
              <w:rPr/>
              <w:t xml:space="preserve"> diverse perspectives and </w:t>
            </w:r>
            <w:r w:rsidR="5B008B7A">
              <w:rPr/>
              <w:t>expertise</w:t>
            </w:r>
            <w:r w:rsidR="5B008B7A">
              <w:rPr/>
              <w:t xml:space="preserve"> to achieve planned outputs effectively.</w:t>
            </w:r>
          </w:p>
          <w:p w:rsidR="09A24DF4" w:rsidP="2E3C947F" w:rsidRDefault="09A24DF4" w14:paraId="70AB33B0" w14:textId="6BAFE0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Mar/>
          </w:tcPr>
          <w:p w:rsidR="00702321" w:rsidP="2E3C947F" w:rsidRDefault="00702321" w14:paraId="64DF77C1" w14:textId="57E850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64B2CC8">
              <w:rPr/>
              <w:t xml:space="preserve">The project design involves meaningful </w:t>
            </w:r>
            <w:r w:rsidRPr="25F7A419" w:rsidR="578CDBA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plans for, and commitment to, joint working</w:t>
            </w:r>
            <w:r w:rsidR="064B2CC8">
              <w:rPr/>
              <w:t xml:space="preserve"> </w:t>
            </w:r>
            <w:r w:rsidR="6148478D">
              <w:rPr/>
              <w:t xml:space="preserve">between </w:t>
            </w:r>
            <w:r w:rsidR="064B2CC8">
              <w:rPr/>
              <w:t xml:space="preserve">students and staff, </w:t>
            </w:r>
            <w:r w:rsidR="523D18A0">
              <w:rPr/>
              <w:t>showcasing co</w:t>
            </w:r>
            <w:r w:rsidR="064B2CC8">
              <w:rPr/>
              <w:t>-creation of outputs.</w:t>
            </w:r>
          </w:p>
          <w:p w:rsidR="09A24DF4" w:rsidP="2E3C947F" w:rsidRDefault="09A24DF4" w14:paraId="35DD0E70" w14:textId="6BAFE0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79" w:type="dxa"/>
            <w:tcMar/>
          </w:tcPr>
          <w:p w:rsidR="09A24DF4" w:rsidP="2E3C947F" w:rsidRDefault="1FEE9C33" w14:paraId="7411C262" w14:textId="07C492F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3CA664B">
              <w:rPr/>
              <w:t xml:space="preserve">The project design involves some </w:t>
            </w:r>
            <w:r w:rsidRPr="25F7A419" w:rsidR="2D5F472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plans for, and commitment to, joint working</w:t>
            </w:r>
            <w:r w:rsidR="63CA664B">
              <w:rPr/>
              <w:t xml:space="preserve"> between students and </w:t>
            </w:r>
            <w:bookmarkStart w:name="_Int_PA7uQJc1" w:id="540838401"/>
            <w:r w:rsidR="63CA664B">
              <w:rPr/>
              <w:t>staff, but</w:t>
            </w:r>
            <w:bookmarkEnd w:id="540838401"/>
            <w:r w:rsidR="63CA664B">
              <w:rPr/>
              <w:t xml:space="preserve"> may lack depth or effectiveness in </w:t>
            </w:r>
            <w:r w:rsidR="63CA664B">
              <w:rPr/>
              <w:t>leveraging</w:t>
            </w:r>
            <w:r w:rsidR="63CA664B">
              <w:rPr/>
              <w:t xml:space="preserve"> diverse perspectives and </w:t>
            </w:r>
            <w:r w:rsidR="63CA664B">
              <w:rPr/>
              <w:t>expertise</w:t>
            </w:r>
            <w:r w:rsidR="63CA664B">
              <w:rPr/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69" w:type="dxa"/>
            <w:tcMar/>
          </w:tcPr>
          <w:p w:rsidR="09A24DF4" w:rsidP="2E3C947F" w:rsidRDefault="1FEE9C33" w14:paraId="32AD53E7" w14:textId="55F867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3CA664B">
              <w:rPr/>
              <w:t xml:space="preserve">The project design shows minimal </w:t>
            </w:r>
            <w:r w:rsidRPr="25F7A419" w:rsidR="4A10AF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clear plans for, and commitment to, joint working</w:t>
            </w:r>
            <w:r w:rsidR="63CA664B">
              <w:rPr/>
              <w:t xml:space="preserve"> between students and staff, with limited</w:t>
            </w:r>
            <w:r w:rsidR="03A656F7">
              <w:rPr/>
              <w:t xml:space="preserve"> </w:t>
            </w:r>
            <w:r w:rsidR="63CA664B">
              <w:rPr/>
              <w:t>co-creation of outputs.</w:t>
            </w:r>
          </w:p>
        </w:tc>
      </w:tr>
      <w:tr w:rsidR="09A24DF4" w:rsidTr="25F7A419" w14:paraId="184DD76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Mar/>
          </w:tcPr>
          <w:p w:rsidRPr="00702321" w:rsidR="09A24DF4" w:rsidP="48CA0B1E" w:rsidRDefault="1262EA0D" w14:paraId="6ED00B3B" w14:textId="587B3F6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8CA0B1E" w:rsidR="68D3EA5C">
              <w:rPr>
                <w:rFonts w:ascii="Calibri" w:hAnsi="Calibri" w:eastAsia="Calibri" w:cs="Calibri"/>
                <w:sz w:val="24"/>
                <w:szCs w:val="24"/>
              </w:rPr>
              <w:t>4.</w:t>
            </w:r>
            <w:r w:rsidRPr="48CA0B1E" w:rsidR="10D967A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48CA0B1E" w:rsidR="10D967A2">
              <w:rPr>
                <w:rFonts w:ascii="Calibri" w:hAnsi="Calibri" w:eastAsia="Calibri" w:cs="Calibri"/>
                <w:sz w:val="24"/>
                <w:szCs w:val="24"/>
              </w:rPr>
              <w:t>Demonstrates</w:t>
            </w:r>
            <w:r w:rsidRPr="48CA0B1E" w:rsidR="10D967A2">
              <w:rPr>
                <w:rFonts w:ascii="Calibri" w:hAnsi="Calibri" w:eastAsia="Calibri" w:cs="Calibri"/>
                <w:sz w:val="24"/>
                <w:szCs w:val="24"/>
              </w:rPr>
              <w:t xml:space="preserve"> a project design that is well thought-out, </w:t>
            </w:r>
            <w:r w:rsidRPr="48CA0B1E" w:rsidR="10D967A2">
              <w:rPr>
                <w:rFonts w:ascii="Calibri" w:hAnsi="Calibri" w:eastAsia="Calibri" w:cs="Calibri"/>
                <w:sz w:val="24"/>
                <w:szCs w:val="24"/>
              </w:rPr>
              <w:t>anticipates</w:t>
            </w:r>
            <w:r w:rsidRPr="48CA0B1E" w:rsidR="10D967A2">
              <w:rPr>
                <w:rFonts w:ascii="Calibri" w:hAnsi="Calibri" w:eastAsia="Calibri" w:cs="Calibri"/>
                <w:sz w:val="24"/>
                <w:szCs w:val="24"/>
              </w:rPr>
              <w:t xml:space="preserve"> potential challenges, and</w:t>
            </w:r>
            <w:r w:rsidRPr="48CA0B1E" w:rsidR="10D967A2">
              <w:rPr>
                <w:rFonts w:ascii="Calibri" w:hAnsi="Calibri" w:eastAsia="Calibri" w:cs="Calibri"/>
                <w:sz w:val="24"/>
                <w:szCs w:val="24"/>
              </w:rPr>
              <w:t xml:space="preserve"> is realistic within the timescale.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09" w:type="dxa"/>
            <w:tcMar/>
          </w:tcPr>
          <w:p w:rsidR="09A24DF4" w:rsidP="2E3C947F" w:rsidRDefault="00611236" w14:paraId="20B40A20" w14:textId="18868A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9E63437">
              <w:rPr/>
              <w:t xml:space="preserve">The project design is meticulously planned, </w:t>
            </w:r>
            <w:r w:rsidR="39E63437">
              <w:rPr/>
              <w:t>demonstrating</w:t>
            </w:r>
            <w:r w:rsidR="39E63437">
              <w:rPr/>
              <w:t xml:space="preserve"> foresight in </w:t>
            </w:r>
            <w:r w:rsidR="39E63437">
              <w:rPr/>
              <w:t>anticipating</w:t>
            </w:r>
            <w:r w:rsidR="39E63437">
              <w:rPr/>
              <w:t xml:space="preserve"> potential challenges, and offering </w:t>
            </w:r>
            <w:r w:rsidR="4FEE8C80">
              <w:rPr/>
              <w:t xml:space="preserve">credible </w:t>
            </w:r>
            <w:r w:rsidR="39E63437">
              <w:rPr/>
              <w:t>innovative solutions within a realistic timescale.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85" w:type="dxa"/>
            <w:tcMar/>
          </w:tcPr>
          <w:p w:rsidR="09A24DF4" w:rsidP="2E3C947F" w:rsidRDefault="00611236" w14:paraId="47677712" w14:textId="044EAC11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9E63437">
              <w:rPr/>
              <w:t xml:space="preserve">The project design is well-thought-out, </w:t>
            </w:r>
            <w:r w:rsidR="39E63437">
              <w:rPr/>
              <w:t>demonstrating</w:t>
            </w:r>
            <w:r w:rsidR="39E63437">
              <w:rPr/>
              <w:t xml:space="preserve"> a clear understanding of potential challenges and providing realistic solutions within the proposed timeline.</w:t>
            </w:r>
            <w:r w:rsidR="507B31F9">
              <w:rPr/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79" w:type="dxa"/>
            <w:tcMar/>
          </w:tcPr>
          <w:p w:rsidR="09A24DF4" w:rsidP="2E3C947F" w:rsidRDefault="72900E45" w14:paraId="10D3F5EE" w14:textId="10E5AA4A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2E3C947F" w:rsidR="606C35B7">
              <w:rPr>
                <w:color w:val="000000" w:themeColor="text1" w:themeTint="FF" w:themeShade="FF"/>
              </w:rPr>
              <w:t xml:space="preserve">The project design shows some planning and consideration of potential </w:t>
            </w:r>
            <w:bookmarkStart w:name="_Int_aqFxXoNP" w:id="1154725007"/>
            <w:r w:rsidRPr="2E3C947F" w:rsidR="606C35B7">
              <w:rPr>
                <w:color w:val="000000" w:themeColor="text1" w:themeTint="FF" w:themeShade="FF"/>
              </w:rPr>
              <w:t>challenges, but</w:t>
            </w:r>
            <w:bookmarkEnd w:id="1154725007"/>
            <w:r w:rsidRPr="2E3C947F" w:rsidR="606C35B7">
              <w:rPr>
                <w:color w:val="000000" w:themeColor="text1" w:themeTint="FF" w:themeShade="FF"/>
              </w:rPr>
              <w:t xml:space="preserve"> may lack thoroughness or innovation in addressing them within the proposed timeline.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69" w:type="dxa"/>
            <w:tcMar/>
          </w:tcPr>
          <w:p w:rsidR="09A24DF4" w:rsidP="2E3C947F" w:rsidRDefault="72900E45" w14:paraId="5F1A1511" w14:textId="752D7E17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06C35B7">
              <w:rPr/>
              <w:t>The project design is poorly planned, with limited consideration of potential challenges and unrealistic solutions within the proposed timeline.</w:t>
            </w:r>
          </w:p>
        </w:tc>
      </w:tr>
    </w:tbl>
    <w:p w:rsidR="09A24DF4" w:rsidP="25F7A419" w:rsidRDefault="09A24DF4" w14:paraId="13BC1739" w14:textId="7D11E3DA" w14:noSpellErr="1">
      <w:pPr>
        <w:pStyle w:val="Normal"/>
      </w:pPr>
    </w:p>
    <w:sectPr w:rsidR="09A24DF4" w:rsidSect="00702321">
      <w:pgSz w:w="16838" w:h="11906" w:orient="landscape"/>
      <w:pgMar w:top="720" w:right="720" w:bottom="720" w:left="720" w:header="720" w:footer="720" w:gutter="0"/>
      <w:cols w:space="720"/>
      <w:docGrid w:linePitch="360"/>
      <w:headerReference w:type="default" r:id="R1d5747b7814745eb"/>
      <w:footerReference w:type="default" r:id="R1b5816181102476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panose1 w:val="00000000000000000000"/>
    <w:charset w:val="0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5F7A419" w:rsidTr="25F7A419" w14:paraId="60F8BB1F">
      <w:trPr>
        <w:trHeight w:val="300"/>
      </w:trPr>
      <w:tc>
        <w:tcPr>
          <w:tcW w:w="5130" w:type="dxa"/>
          <w:tcMar/>
        </w:tcPr>
        <w:p w:rsidR="25F7A419" w:rsidP="25F7A419" w:rsidRDefault="25F7A419" w14:paraId="53FB098F" w14:textId="44DAD9F0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25F7A419" w:rsidP="25F7A419" w:rsidRDefault="25F7A419" w14:paraId="1DBC207B" w14:textId="6A0A8F28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25F7A419" w:rsidP="25F7A419" w:rsidRDefault="25F7A419" w14:paraId="5B92618B" w14:textId="5573A8F5">
          <w:pPr>
            <w:pStyle w:val="Header"/>
            <w:bidi w:val="0"/>
            <w:ind w:right="-115"/>
            <w:jc w:val="right"/>
          </w:pPr>
        </w:p>
      </w:tc>
    </w:tr>
  </w:tbl>
  <w:p w:rsidR="25F7A419" w:rsidP="25F7A419" w:rsidRDefault="25F7A419" w14:paraId="29B97527" w14:textId="66178D4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5F7A419" w:rsidTr="25F7A419" w14:paraId="1083788E">
      <w:trPr>
        <w:trHeight w:val="300"/>
      </w:trPr>
      <w:tc>
        <w:tcPr>
          <w:tcW w:w="5130" w:type="dxa"/>
          <w:tcMar/>
        </w:tcPr>
        <w:p w:rsidR="25F7A419" w:rsidP="25F7A419" w:rsidRDefault="25F7A419" w14:paraId="31FC3834" w14:textId="38538CED">
          <w:pPr>
            <w:ind w:left="-115"/>
            <w:jc w:val="left"/>
            <w:rPr>
              <w:b w:val="1"/>
              <w:bCs w:val="1"/>
              <w:sz w:val="32"/>
              <w:szCs w:val="32"/>
            </w:rPr>
          </w:pPr>
          <w:r w:rsidR="25F7A419">
            <w:drawing>
              <wp:inline wp14:editId="7F44B704" wp14:anchorId="2E3FC67B">
                <wp:extent cx="751296" cy="1032217"/>
                <wp:effectExtent l="0" t="0" r="0" b="0"/>
                <wp:docPr id="702362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f94c31688c4495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25925" t="13888" r="20833" b="1296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96" cy="1032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tcMar/>
        </w:tcPr>
        <w:p w:rsidR="25F7A419" w:rsidP="25F7A419" w:rsidRDefault="25F7A419" w14:paraId="7E62E5BB" w14:textId="612A8C04">
          <w:pPr>
            <w:pStyle w:val="Normal"/>
            <w:jc w:val="center"/>
            <w:rPr>
              <w:b w:val="1"/>
              <w:bCs w:val="1"/>
              <w:sz w:val="32"/>
              <w:szCs w:val="32"/>
            </w:rPr>
          </w:pPr>
        </w:p>
        <w:p w:rsidR="25F7A419" w:rsidP="25F7A419" w:rsidRDefault="25F7A419" w14:paraId="09D94DAB" w14:textId="6D0617B1">
          <w:pPr>
            <w:pStyle w:val="Normal"/>
            <w:jc w:val="center"/>
            <w:rPr>
              <w:b w:val="1"/>
              <w:bCs w:val="1"/>
              <w:sz w:val="32"/>
              <w:szCs w:val="32"/>
            </w:rPr>
          </w:pPr>
          <w:r w:rsidRPr="25F7A419" w:rsidR="25F7A419">
            <w:rPr>
              <w:b w:val="1"/>
              <w:bCs w:val="1"/>
              <w:sz w:val="32"/>
              <w:szCs w:val="32"/>
            </w:rPr>
            <w:t>Student-Staff Partnership Grants 2025-2026 - Marking Rubric</w:t>
          </w:r>
        </w:p>
      </w:tc>
      <w:tc>
        <w:tcPr>
          <w:tcW w:w="5130" w:type="dxa"/>
          <w:tcMar/>
        </w:tcPr>
        <w:p w:rsidR="25F7A419" w:rsidP="25F7A419" w:rsidRDefault="25F7A419" w14:paraId="02343E83" w14:textId="4996AD13">
          <w:pPr>
            <w:pStyle w:val="Header"/>
            <w:bidi w:val="0"/>
            <w:ind w:right="-115"/>
            <w:jc w:val="right"/>
          </w:pPr>
        </w:p>
      </w:tc>
    </w:tr>
  </w:tbl>
  <w:p w:rsidR="25F7A419" w:rsidP="25F7A419" w:rsidRDefault="25F7A419" w14:paraId="06B5D772" w14:textId="0AE71CF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PA7uQJc1" int2:invalidationBookmarkName="" int2:hashCode="gQLr3iLjAC03F8" int2:id="QnObDudp">
      <int2:state int2:type="AugLoop_Text_Critique" int2:value="Rejected"/>
    </int2:bookmark>
    <int2:bookmark int2:bookmarkName="_Int_aqFxXoNP" int2:invalidationBookmarkName="" int2:hashCode="JPn08sAmODeATV" int2:id="KaJlqvY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3e822e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B2081A"/>
    <w:multiLevelType w:val="hybridMultilevel"/>
    <w:tmpl w:val="F5D69E6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083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0C98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3EF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B6D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D29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9AF5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066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74FE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855F3"/>
    <w:multiLevelType w:val="hybridMultilevel"/>
    <w:tmpl w:val="EBF6CB54"/>
    <w:lvl w:ilvl="0" w:tplc="F404E0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804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DE66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D6A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2C5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C231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9C8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769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F45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3193C1"/>
    <w:multiLevelType w:val="hybridMultilevel"/>
    <w:tmpl w:val="0B24B3E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0CC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C85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860B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6CB2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AA5A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C4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92EF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5A5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5B062C"/>
    <w:multiLevelType w:val="multilevel"/>
    <w:tmpl w:val="ED6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7B07BE5"/>
    <w:multiLevelType w:val="hybridMultilevel"/>
    <w:tmpl w:val="DF6023B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6CE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98E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361C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CABD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500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3A5F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64A6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9851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F405D5"/>
    <w:multiLevelType w:val="hybridMultilevel"/>
    <w:tmpl w:val="3730BE62"/>
    <w:lvl w:ilvl="0" w:tplc="56AED6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3C31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E64A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CE70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4041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8CF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D0B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C0F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0ADC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086C3B"/>
    <w:multiLevelType w:val="hybridMultilevel"/>
    <w:tmpl w:val="58E24376"/>
    <w:lvl w:ilvl="0" w:tplc="FFFFFFFF">
      <w:start w:val="1"/>
      <w:numFmt w:val="decimal"/>
      <w:suff w:val="nothing"/>
      <w:lvlText w:val="%1."/>
      <w:lvlJc w:val="left"/>
      <w:pPr>
        <w:ind w:left="0" w:firstLine="0"/>
      </w:pPr>
    </w:lvl>
    <w:lvl w:ilvl="1" w:tplc="CD3C1640">
      <w:start w:val="1"/>
      <w:numFmt w:val="lowerLetter"/>
      <w:lvlText w:val="%2."/>
      <w:lvlJc w:val="left"/>
      <w:pPr>
        <w:ind w:left="1440" w:hanging="360"/>
      </w:pPr>
    </w:lvl>
    <w:lvl w:ilvl="2" w:tplc="F3220C10">
      <w:start w:val="1"/>
      <w:numFmt w:val="lowerRoman"/>
      <w:lvlText w:val="%3."/>
      <w:lvlJc w:val="right"/>
      <w:pPr>
        <w:ind w:left="2160" w:hanging="180"/>
      </w:pPr>
    </w:lvl>
    <w:lvl w:ilvl="3" w:tplc="0574AC34">
      <w:start w:val="1"/>
      <w:numFmt w:val="decimal"/>
      <w:lvlText w:val="%4."/>
      <w:lvlJc w:val="left"/>
      <w:pPr>
        <w:ind w:left="2880" w:hanging="360"/>
      </w:pPr>
    </w:lvl>
    <w:lvl w:ilvl="4" w:tplc="ECBA5580">
      <w:start w:val="1"/>
      <w:numFmt w:val="lowerLetter"/>
      <w:lvlText w:val="%5."/>
      <w:lvlJc w:val="left"/>
      <w:pPr>
        <w:ind w:left="3600" w:hanging="360"/>
      </w:pPr>
    </w:lvl>
    <w:lvl w:ilvl="5" w:tplc="832247F4">
      <w:start w:val="1"/>
      <w:numFmt w:val="lowerRoman"/>
      <w:lvlText w:val="%6."/>
      <w:lvlJc w:val="right"/>
      <w:pPr>
        <w:ind w:left="4320" w:hanging="180"/>
      </w:pPr>
    </w:lvl>
    <w:lvl w:ilvl="6" w:tplc="B4DE330A">
      <w:start w:val="1"/>
      <w:numFmt w:val="decimal"/>
      <w:lvlText w:val="%7."/>
      <w:lvlJc w:val="left"/>
      <w:pPr>
        <w:ind w:left="5040" w:hanging="360"/>
      </w:pPr>
    </w:lvl>
    <w:lvl w:ilvl="7" w:tplc="5ACA578A">
      <w:start w:val="1"/>
      <w:numFmt w:val="lowerLetter"/>
      <w:lvlText w:val="%8."/>
      <w:lvlJc w:val="left"/>
      <w:pPr>
        <w:ind w:left="5760" w:hanging="360"/>
      </w:pPr>
    </w:lvl>
    <w:lvl w:ilvl="8" w:tplc="E01AF0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AA8A"/>
    <w:multiLevelType w:val="hybridMultilevel"/>
    <w:tmpl w:val="F0D4A772"/>
    <w:lvl w:ilvl="0" w:tplc="6B24E3A4">
      <w:start w:val="1"/>
      <w:numFmt w:val="decimal"/>
      <w:lvlText w:val="%1."/>
      <w:lvlJc w:val="left"/>
      <w:pPr>
        <w:ind w:left="720" w:hanging="360"/>
      </w:pPr>
    </w:lvl>
    <w:lvl w:ilvl="1" w:tplc="BA10915E">
      <w:start w:val="1"/>
      <w:numFmt w:val="lowerLetter"/>
      <w:lvlText w:val="%2."/>
      <w:lvlJc w:val="left"/>
      <w:pPr>
        <w:ind w:left="1440" w:hanging="360"/>
      </w:pPr>
    </w:lvl>
    <w:lvl w:ilvl="2" w:tplc="5FCA2F42">
      <w:start w:val="1"/>
      <w:numFmt w:val="lowerRoman"/>
      <w:lvlText w:val="%3."/>
      <w:lvlJc w:val="right"/>
      <w:pPr>
        <w:ind w:left="2160" w:hanging="180"/>
      </w:pPr>
    </w:lvl>
    <w:lvl w:ilvl="3" w:tplc="62F014F6">
      <w:start w:val="1"/>
      <w:numFmt w:val="decimal"/>
      <w:lvlText w:val="%4."/>
      <w:lvlJc w:val="left"/>
      <w:pPr>
        <w:ind w:left="2880" w:hanging="360"/>
      </w:pPr>
    </w:lvl>
    <w:lvl w:ilvl="4" w:tplc="7C344200">
      <w:start w:val="1"/>
      <w:numFmt w:val="lowerLetter"/>
      <w:lvlText w:val="%5."/>
      <w:lvlJc w:val="left"/>
      <w:pPr>
        <w:ind w:left="3600" w:hanging="360"/>
      </w:pPr>
    </w:lvl>
    <w:lvl w:ilvl="5" w:tplc="89808776">
      <w:start w:val="1"/>
      <w:numFmt w:val="lowerRoman"/>
      <w:lvlText w:val="%6."/>
      <w:lvlJc w:val="right"/>
      <w:pPr>
        <w:ind w:left="4320" w:hanging="180"/>
      </w:pPr>
    </w:lvl>
    <w:lvl w:ilvl="6" w:tplc="4170E28C">
      <w:start w:val="1"/>
      <w:numFmt w:val="decimal"/>
      <w:lvlText w:val="%7."/>
      <w:lvlJc w:val="left"/>
      <w:pPr>
        <w:ind w:left="5040" w:hanging="360"/>
      </w:pPr>
    </w:lvl>
    <w:lvl w:ilvl="7" w:tplc="A850952A">
      <w:start w:val="1"/>
      <w:numFmt w:val="lowerLetter"/>
      <w:lvlText w:val="%8."/>
      <w:lvlJc w:val="left"/>
      <w:pPr>
        <w:ind w:left="5760" w:hanging="360"/>
      </w:pPr>
    </w:lvl>
    <w:lvl w:ilvl="8" w:tplc="05C485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9798C"/>
    <w:multiLevelType w:val="hybridMultilevel"/>
    <w:tmpl w:val="CE646DD4"/>
    <w:lvl w:ilvl="0" w:tplc="B636E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DEB9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02EA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F0A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4C7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206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FAF0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48E9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4456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D36C1F"/>
    <w:multiLevelType w:val="hybridMultilevel"/>
    <w:tmpl w:val="9670BAE0"/>
    <w:lvl w:ilvl="0" w:tplc="CA76C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88B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BA5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E635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A4E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FCC2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F865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18CF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4A4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207481"/>
    <w:multiLevelType w:val="hybridMultilevel"/>
    <w:tmpl w:val="8EC6DBB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DE32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416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540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403C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BA48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58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6256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4016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0D5CF6"/>
    <w:multiLevelType w:val="hybridMultilevel"/>
    <w:tmpl w:val="2236E7F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3E45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C45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864B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A98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FE1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D29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6010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9815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655886"/>
    <w:multiLevelType w:val="hybridMultilevel"/>
    <w:tmpl w:val="B98008C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68E2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ECD4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486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7AC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583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70B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3C65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D80A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3"/>
  </w: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 w:numId="13">
    <w:abstractNumId w:val="3"/>
  </w:num>
  <w:num w:numId="14">
    <w:abstractNumId w:val="6"/>
    <w:lvlOverride w:ilvl="0">
      <w:lvl w:ilvl="0" w:tplc="FFFFFFFF"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CD3C16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3220C1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574AC3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CBA558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32247F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4DE330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ACA578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01AF09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6"/>
    <w:lvlOverride w:ilvl="0">
      <w:lvl w:ilvl="0" w:tplc="FFFFFFFF"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CD3C16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3220C1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574AC3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CBA558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32247F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4DE330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ACA578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01AF09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A5224F"/>
    <w:rsid w:val="002C133A"/>
    <w:rsid w:val="003D7E10"/>
    <w:rsid w:val="00537983"/>
    <w:rsid w:val="00611236"/>
    <w:rsid w:val="00702321"/>
    <w:rsid w:val="00E2039E"/>
    <w:rsid w:val="0121B185"/>
    <w:rsid w:val="0191D5BF"/>
    <w:rsid w:val="01966348"/>
    <w:rsid w:val="01A0D18E"/>
    <w:rsid w:val="01EC26C0"/>
    <w:rsid w:val="02761F46"/>
    <w:rsid w:val="0292B346"/>
    <w:rsid w:val="02984CDD"/>
    <w:rsid w:val="030FF992"/>
    <w:rsid w:val="034D6BB1"/>
    <w:rsid w:val="03A656F7"/>
    <w:rsid w:val="046F0672"/>
    <w:rsid w:val="04721736"/>
    <w:rsid w:val="05282983"/>
    <w:rsid w:val="06268AF4"/>
    <w:rsid w:val="064B2CC8"/>
    <w:rsid w:val="06AFEC06"/>
    <w:rsid w:val="06B69152"/>
    <w:rsid w:val="06D25981"/>
    <w:rsid w:val="0797859D"/>
    <w:rsid w:val="07B729BC"/>
    <w:rsid w:val="08C6B318"/>
    <w:rsid w:val="08C71C37"/>
    <w:rsid w:val="09763F77"/>
    <w:rsid w:val="09A24DF4"/>
    <w:rsid w:val="09CE0514"/>
    <w:rsid w:val="09D6280E"/>
    <w:rsid w:val="09E6E71F"/>
    <w:rsid w:val="09EC286F"/>
    <w:rsid w:val="09F4D591"/>
    <w:rsid w:val="09FE2E6E"/>
    <w:rsid w:val="0A28E22B"/>
    <w:rsid w:val="0A3A4B70"/>
    <w:rsid w:val="0A8F3194"/>
    <w:rsid w:val="0B4CFC8B"/>
    <w:rsid w:val="0B7BDBDB"/>
    <w:rsid w:val="0B95C2A6"/>
    <w:rsid w:val="0BA98C1D"/>
    <w:rsid w:val="0C1BAF03"/>
    <w:rsid w:val="0C4635D6"/>
    <w:rsid w:val="0C9FD8B0"/>
    <w:rsid w:val="0D673DE4"/>
    <w:rsid w:val="0DEDF603"/>
    <w:rsid w:val="0E54EE62"/>
    <w:rsid w:val="0E7A2525"/>
    <w:rsid w:val="0EB05397"/>
    <w:rsid w:val="0EBE60D3"/>
    <w:rsid w:val="0EF9ECA8"/>
    <w:rsid w:val="0F6A33CD"/>
    <w:rsid w:val="1074DB78"/>
    <w:rsid w:val="10D967A2"/>
    <w:rsid w:val="10EAB229"/>
    <w:rsid w:val="114593EA"/>
    <w:rsid w:val="1193DBC4"/>
    <w:rsid w:val="1262EA0D"/>
    <w:rsid w:val="129060C2"/>
    <w:rsid w:val="13190900"/>
    <w:rsid w:val="13A43781"/>
    <w:rsid w:val="13DD971D"/>
    <w:rsid w:val="13E98EE8"/>
    <w:rsid w:val="147DC7EC"/>
    <w:rsid w:val="159AE984"/>
    <w:rsid w:val="15AAEE86"/>
    <w:rsid w:val="161FA96F"/>
    <w:rsid w:val="168A27AE"/>
    <w:rsid w:val="16ED291B"/>
    <w:rsid w:val="181F2893"/>
    <w:rsid w:val="1857C623"/>
    <w:rsid w:val="18D9DE2E"/>
    <w:rsid w:val="1952D4F6"/>
    <w:rsid w:val="19F9C5DF"/>
    <w:rsid w:val="1BAA765C"/>
    <w:rsid w:val="1BB46265"/>
    <w:rsid w:val="1BD58BF7"/>
    <w:rsid w:val="1C19D1A2"/>
    <w:rsid w:val="1D4A21F3"/>
    <w:rsid w:val="1D4ABFCE"/>
    <w:rsid w:val="1DCE21CA"/>
    <w:rsid w:val="1EE994B1"/>
    <w:rsid w:val="1FEE9C33"/>
    <w:rsid w:val="20492F4E"/>
    <w:rsid w:val="204AC20C"/>
    <w:rsid w:val="2094D588"/>
    <w:rsid w:val="20CB4E3A"/>
    <w:rsid w:val="2163A102"/>
    <w:rsid w:val="22A5EAD9"/>
    <w:rsid w:val="23176219"/>
    <w:rsid w:val="24F0504D"/>
    <w:rsid w:val="24F11917"/>
    <w:rsid w:val="2552D9CE"/>
    <w:rsid w:val="257872E7"/>
    <w:rsid w:val="25AA3594"/>
    <w:rsid w:val="25F7A419"/>
    <w:rsid w:val="265D1EE1"/>
    <w:rsid w:val="268E5699"/>
    <w:rsid w:val="27144348"/>
    <w:rsid w:val="274678EE"/>
    <w:rsid w:val="27ED0520"/>
    <w:rsid w:val="2805F818"/>
    <w:rsid w:val="2853DC97"/>
    <w:rsid w:val="29474EF9"/>
    <w:rsid w:val="29C77A00"/>
    <w:rsid w:val="2A433539"/>
    <w:rsid w:val="2AA41B0A"/>
    <w:rsid w:val="2AC8AACA"/>
    <w:rsid w:val="2BF29210"/>
    <w:rsid w:val="2C5DB6D6"/>
    <w:rsid w:val="2D5F4721"/>
    <w:rsid w:val="2E3C947F"/>
    <w:rsid w:val="2F788139"/>
    <w:rsid w:val="30D83577"/>
    <w:rsid w:val="30F95703"/>
    <w:rsid w:val="316A4D4A"/>
    <w:rsid w:val="32362C66"/>
    <w:rsid w:val="32EC3BFB"/>
    <w:rsid w:val="334FE682"/>
    <w:rsid w:val="33F9B3AA"/>
    <w:rsid w:val="34166867"/>
    <w:rsid w:val="3417E0F3"/>
    <w:rsid w:val="3425E9F0"/>
    <w:rsid w:val="3455322E"/>
    <w:rsid w:val="34C198B3"/>
    <w:rsid w:val="34D61459"/>
    <w:rsid w:val="3566A1E3"/>
    <w:rsid w:val="35704C31"/>
    <w:rsid w:val="3579C445"/>
    <w:rsid w:val="35889666"/>
    <w:rsid w:val="36095FB2"/>
    <w:rsid w:val="36133A03"/>
    <w:rsid w:val="369FF77F"/>
    <w:rsid w:val="37C972E9"/>
    <w:rsid w:val="380C28D2"/>
    <w:rsid w:val="384A2816"/>
    <w:rsid w:val="39E63437"/>
    <w:rsid w:val="39F04364"/>
    <w:rsid w:val="3A4E6899"/>
    <w:rsid w:val="3B098E93"/>
    <w:rsid w:val="3B7487B5"/>
    <w:rsid w:val="3BAB96EB"/>
    <w:rsid w:val="3C11EC00"/>
    <w:rsid w:val="3C6DBE79"/>
    <w:rsid w:val="3C704E51"/>
    <w:rsid w:val="3C8459DC"/>
    <w:rsid w:val="3CE48500"/>
    <w:rsid w:val="3CF2E6F8"/>
    <w:rsid w:val="3D42E984"/>
    <w:rsid w:val="3EE952FC"/>
    <w:rsid w:val="3EF6F6D8"/>
    <w:rsid w:val="3F0BFFAA"/>
    <w:rsid w:val="3F3A6FD8"/>
    <w:rsid w:val="3F3FC1BC"/>
    <w:rsid w:val="3F5E186F"/>
    <w:rsid w:val="3FB1DC42"/>
    <w:rsid w:val="406C348B"/>
    <w:rsid w:val="4091DE59"/>
    <w:rsid w:val="40B9BF19"/>
    <w:rsid w:val="4127B07B"/>
    <w:rsid w:val="417C7B0D"/>
    <w:rsid w:val="41ABE3EE"/>
    <w:rsid w:val="41C32033"/>
    <w:rsid w:val="41F663CA"/>
    <w:rsid w:val="438BE8AB"/>
    <w:rsid w:val="43F43EED"/>
    <w:rsid w:val="43F6E82A"/>
    <w:rsid w:val="448F82D8"/>
    <w:rsid w:val="448FE190"/>
    <w:rsid w:val="45ACA97A"/>
    <w:rsid w:val="45B72009"/>
    <w:rsid w:val="45FE3E47"/>
    <w:rsid w:val="46D0192F"/>
    <w:rsid w:val="47070A67"/>
    <w:rsid w:val="47EA6959"/>
    <w:rsid w:val="484E0A8E"/>
    <w:rsid w:val="484FFD68"/>
    <w:rsid w:val="485A24DF"/>
    <w:rsid w:val="48A7A038"/>
    <w:rsid w:val="48CA0B1E"/>
    <w:rsid w:val="48D18E3C"/>
    <w:rsid w:val="495CA234"/>
    <w:rsid w:val="49E26CAE"/>
    <w:rsid w:val="4A0144F6"/>
    <w:rsid w:val="4A10AFC1"/>
    <w:rsid w:val="4B1441B6"/>
    <w:rsid w:val="4B5A148A"/>
    <w:rsid w:val="4BA6C382"/>
    <w:rsid w:val="4BCFE375"/>
    <w:rsid w:val="4BE8AA59"/>
    <w:rsid w:val="4BED90ED"/>
    <w:rsid w:val="4BF27038"/>
    <w:rsid w:val="4CA0A522"/>
    <w:rsid w:val="4CA5224F"/>
    <w:rsid w:val="4D250F28"/>
    <w:rsid w:val="4D32ED9C"/>
    <w:rsid w:val="4E201802"/>
    <w:rsid w:val="4E5D1A8B"/>
    <w:rsid w:val="4E7AC409"/>
    <w:rsid w:val="4ED3CBF3"/>
    <w:rsid w:val="4EF4E818"/>
    <w:rsid w:val="4F02EDDC"/>
    <w:rsid w:val="4F17D2DB"/>
    <w:rsid w:val="4F40397B"/>
    <w:rsid w:val="4F6ED1AF"/>
    <w:rsid w:val="4FEE8C80"/>
    <w:rsid w:val="501164EB"/>
    <w:rsid w:val="502F42CE"/>
    <w:rsid w:val="507B31F9"/>
    <w:rsid w:val="50F5B39C"/>
    <w:rsid w:val="5147EA50"/>
    <w:rsid w:val="523D18A0"/>
    <w:rsid w:val="5250DCBA"/>
    <w:rsid w:val="52599399"/>
    <w:rsid w:val="5388E951"/>
    <w:rsid w:val="53AB2142"/>
    <w:rsid w:val="545EE64C"/>
    <w:rsid w:val="55217F6F"/>
    <w:rsid w:val="55452EF7"/>
    <w:rsid w:val="5570D99B"/>
    <w:rsid w:val="5577AE33"/>
    <w:rsid w:val="578CDBA8"/>
    <w:rsid w:val="58417E7E"/>
    <w:rsid w:val="587D7A74"/>
    <w:rsid w:val="588F0A8F"/>
    <w:rsid w:val="5893F169"/>
    <w:rsid w:val="58A03DBD"/>
    <w:rsid w:val="59188DA9"/>
    <w:rsid w:val="59D5089C"/>
    <w:rsid w:val="5B008B7A"/>
    <w:rsid w:val="5B70D8FD"/>
    <w:rsid w:val="5B925856"/>
    <w:rsid w:val="5C970E82"/>
    <w:rsid w:val="5CA33E6E"/>
    <w:rsid w:val="5D7CE922"/>
    <w:rsid w:val="5DD8CEDB"/>
    <w:rsid w:val="5DDF9D72"/>
    <w:rsid w:val="5DE7BC65"/>
    <w:rsid w:val="5E0E2843"/>
    <w:rsid w:val="5EB23703"/>
    <w:rsid w:val="5F14AC61"/>
    <w:rsid w:val="5F808FAD"/>
    <w:rsid w:val="5F8AB204"/>
    <w:rsid w:val="5FEAC594"/>
    <w:rsid w:val="60347636"/>
    <w:rsid w:val="606C35B7"/>
    <w:rsid w:val="60DD568D"/>
    <w:rsid w:val="60F37063"/>
    <w:rsid w:val="61297262"/>
    <w:rsid w:val="6148478D"/>
    <w:rsid w:val="61C7A9F5"/>
    <w:rsid w:val="621C6D2E"/>
    <w:rsid w:val="62790444"/>
    <w:rsid w:val="62DF56CA"/>
    <w:rsid w:val="62FF45AE"/>
    <w:rsid w:val="63A7E7CB"/>
    <w:rsid w:val="63CA664B"/>
    <w:rsid w:val="6414D4A5"/>
    <w:rsid w:val="64CC0974"/>
    <w:rsid w:val="6638D3CC"/>
    <w:rsid w:val="668A10DE"/>
    <w:rsid w:val="673A38E4"/>
    <w:rsid w:val="67532610"/>
    <w:rsid w:val="676B7FC9"/>
    <w:rsid w:val="682021D6"/>
    <w:rsid w:val="68A820DA"/>
    <w:rsid w:val="68C1BB0C"/>
    <w:rsid w:val="68CC71EA"/>
    <w:rsid w:val="68D3EA5C"/>
    <w:rsid w:val="69262A05"/>
    <w:rsid w:val="69AEFDC8"/>
    <w:rsid w:val="69B8004A"/>
    <w:rsid w:val="69B9937D"/>
    <w:rsid w:val="69C1B1A0"/>
    <w:rsid w:val="69DE10FD"/>
    <w:rsid w:val="6A25BE68"/>
    <w:rsid w:val="6A5A1F6E"/>
    <w:rsid w:val="6A93A8C5"/>
    <w:rsid w:val="6B53FD08"/>
    <w:rsid w:val="6B5D8201"/>
    <w:rsid w:val="6B67AEC4"/>
    <w:rsid w:val="6BF5EFCF"/>
    <w:rsid w:val="6C3C1370"/>
    <w:rsid w:val="6C96E439"/>
    <w:rsid w:val="6E03EA84"/>
    <w:rsid w:val="6E2BFDB0"/>
    <w:rsid w:val="6E3981AC"/>
    <w:rsid w:val="6E61A84F"/>
    <w:rsid w:val="6E6DFFEF"/>
    <w:rsid w:val="6ECC2CCB"/>
    <w:rsid w:val="6EE2C3D3"/>
    <w:rsid w:val="6F2F0E72"/>
    <w:rsid w:val="6F3C95B5"/>
    <w:rsid w:val="6F84F541"/>
    <w:rsid w:val="7004D19C"/>
    <w:rsid w:val="70680735"/>
    <w:rsid w:val="7084F773"/>
    <w:rsid w:val="70EC5EF4"/>
    <w:rsid w:val="719396D4"/>
    <w:rsid w:val="71A7128E"/>
    <w:rsid w:val="71CD9D37"/>
    <w:rsid w:val="7254431A"/>
    <w:rsid w:val="727F3ABF"/>
    <w:rsid w:val="728F5B4B"/>
    <w:rsid w:val="72900E45"/>
    <w:rsid w:val="72A3430A"/>
    <w:rsid w:val="73680F41"/>
    <w:rsid w:val="73A6DE77"/>
    <w:rsid w:val="74506A27"/>
    <w:rsid w:val="74537F6C"/>
    <w:rsid w:val="74FE010C"/>
    <w:rsid w:val="760879A3"/>
    <w:rsid w:val="7627F97B"/>
    <w:rsid w:val="7680FFEF"/>
    <w:rsid w:val="76874BAD"/>
    <w:rsid w:val="76B79FE6"/>
    <w:rsid w:val="774ABDB5"/>
    <w:rsid w:val="774AE678"/>
    <w:rsid w:val="78531F90"/>
    <w:rsid w:val="78FE360A"/>
    <w:rsid w:val="79215DF3"/>
    <w:rsid w:val="7946ED46"/>
    <w:rsid w:val="7A7B6D39"/>
    <w:rsid w:val="7AC716E1"/>
    <w:rsid w:val="7B122B6E"/>
    <w:rsid w:val="7B739D1D"/>
    <w:rsid w:val="7C2C5C2E"/>
    <w:rsid w:val="7D3D17EE"/>
    <w:rsid w:val="7D4DCA9C"/>
    <w:rsid w:val="7E8FFAE7"/>
    <w:rsid w:val="7F1904B5"/>
    <w:rsid w:val="7F190808"/>
    <w:rsid w:val="7F7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9FDC"/>
  <w15:chartTrackingRefBased/>
  <w15:docId w15:val="{550E65FD-762B-4095-B18B-FC0D409F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7983"/>
    <w:rPr>
      <w:rFonts w:ascii="Segoe UI" w:hAnsi="Segoe UI" w:cs="Segoe UI"/>
      <w:sz w:val="18"/>
      <w:szCs w:val="18"/>
    </w:rPr>
  </w:style>
  <w:style w:type="character" w:styleId="Hyperlink">
    <w:uiPriority w:val="99"/>
    <w:name w:val="Hyperlink"/>
    <w:basedOn w:val="DefaultParagraphFont"/>
    <w:unhideWhenUsed/>
    <w:rsid w:val="438BE8AB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5F7A41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5F7A419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20/10/relationships/intelligence" Target="intelligence2.xml" Id="Rc311c3ba448a4490" /><Relationship Type="http://schemas.openxmlformats.org/officeDocument/2006/relationships/hyperlink" Target="https://www.sgul.ac.uk/about/our-education-centres/centre-for-innovation-and-development-in-education/inclusive-education/inclusive-education-framework" TargetMode="External" Id="R48aa1e63d6ce47aa" /><Relationship Type="http://schemas.openxmlformats.org/officeDocument/2006/relationships/hyperlink" Target="https://cityuni.sharepoint.com/sites/cs_CityLearningTeachngPortal/SitePages/Inclusive-Practice-Framework.aspx" TargetMode="External" Id="Rcf8ad45e1bfe43ba" /><Relationship Type="http://schemas.openxmlformats.org/officeDocument/2006/relationships/hyperlink" Target="https://www.sgul.ac.uk/about/our-education-centres/centre-for-innovation-and-development-in-education/inclusive-education/inclusive-education-framework" TargetMode="External" Id="R71ccad48e28c4bd6" /><Relationship Type="http://schemas.openxmlformats.org/officeDocument/2006/relationships/hyperlink" Target="https://cityuni.sharepoint.com/sites/cs_CityLearningTeachngPortal/SitePages/Inclusive-Practice-Framework.aspx" TargetMode="External" Id="R9a0ab64fe0bf443a" /><Relationship Type="http://schemas.openxmlformats.org/officeDocument/2006/relationships/hyperlink" Target="https://www.sgul.ac.uk/about/our-education-centres/centre-for-innovation-and-development-in-education/inclusive-education/inclusive-education-framework" TargetMode="External" Id="R55c6429ffad54ee3" /><Relationship Type="http://schemas.openxmlformats.org/officeDocument/2006/relationships/hyperlink" Target="https://cityuni.sharepoint.com/sites/cs_CityLearningTeachngPortal/SitePages/Inclusive-Practice-Framework.aspx" TargetMode="External" Id="Re4538a9d41494527" /><Relationship Type="http://schemas.openxmlformats.org/officeDocument/2006/relationships/hyperlink" Target="https://www.sgul.ac.uk/about/our-education-centres/centre-for-innovation-and-development-in-education/inclusive-education/inclusive-education-framework" TargetMode="External" Id="Rb5c4bac8083d4f1d" /><Relationship Type="http://schemas.openxmlformats.org/officeDocument/2006/relationships/hyperlink" Target="https://cityuni.sharepoint.com/sites/cs_CityLearningTeachngPortal/SitePages/Inclusive-Practice-Framework.aspx" TargetMode="External" Id="R0fd392e3f3d248d1" /><Relationship Type="http://schemas.openxmlformats.org/officeDocument/2006/relationships/hyperlink" Target="https://www.sgul.ac.uk/about/our-education-centres/centre-for-innovation-and-development-in-education/inclusive-education/inclusive-education-framework" TargetMode="External" Id="R23513826645e4d71" /><Relationship Type="http://schemas.openxmlformats.org/officeDocument/2006/relationships/hyperlink" Target="https://cityuni.sharepoint.com/sites/cs_CityLearningTeachngPortal/SitePages/Inclusive-Practice-Framework.aspx" TargetMode="External" Id="R1966d37fafd84f5e" /><Relationship Type="http://schemas.openxmlformats.org/officeDocument/2006/relationships/header" Target="header.xml" Id="R1d5747b7814745eb" /><Relationship Type="http://schemas.openxmlformats.org/officeDocument/2006/relationships/footer" Target="footer.xml" Id="R1b5816181102476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f94c31688c449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C25271D951D44A2246248A0A598DA" ma:contentTypeVersion="15" ma:contentTypeDescription="Create a new document." ma:contentTypeScope="" ma:versionID="2ec2d8a451b6f0a4ca7699d3b6c026e5">
  <xsd:schema xmlns:xsd="http://www.w3.org/2001/XMLSchema" xmlns:xs="http://www.w3.org/2001/XMLSchema" xmlns:p="http://schemas.microsoft.com/office/2006/metadata/properties" xmlns:ns2="3c4382c5-d464-490c-b296-e4c4b8ad8a95" xmlns:ns3="d7e1e7f1-87d6-4d52-9071-1ce14a315df6" targetNamespace="http://schemas.microsoft.com/office/2006/metadata/properties" ma:root="true" ma:fieldsID="edd2b25c1873565488f31fff96fd7a9e" ns2:_="" ns3:_="">
    <xsd:import namespace="3c4382c5-d464-490c-b296-e4c4b8ad8a95"/>
    <xsd:import namespace="d7e1e7f1-87d6-4d52-9071-1ce14a315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382c5-d464-490c-b296-e4c4b8ad8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e7f1-87d6-4d52-9071-1ce14a315d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3f2fdff-afd8-4de1-b715-4486586d6efb}" ma:internalName="TaxCatchAll" ma:showField="CatchAllData" ma:web="d7e1e7f1-87d6-4d52-9071-1ce14a315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382c5-d464-490c-b296-e4c4b8ad8a95">
      <Terms xmlns="http://schemas.microsoft.com/office/infopath/2007/PartnerControls"/>
    </lcf76f155ced4ddcb4097134ff3c332f>
    <TaxCatchAll xmlns="d7e1e7f1-87d6-4d52-9071-1ce14a315df6" xsi:nil="true"/>
    <SharedWithUsers xmlns="d7e1e7f1-87d6-4d52-9071-1ce14a315df6">
      <UserInfo>
        <DisplayName>Sally Mitchell</DisplayName>
        <AccountId>33</AccountId>
        <AccountType/>
      </UserInfo>
      <UserInfo>
        <DisplayName>Olga Rodriguez Falcon</DisplayName>
        <AccountId>32</AccountId>
        <AccountType/>
      </UserInfo>
      <UserInfo>
        <DisplayName>Lisa Liu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E69159-2710-4D8A-8D4D-A3FBE73DF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382c5-d464-490c-b296-e4c4b8ad8a95"/>
    <ds:schemaRef ds:uri="d7e1e7f1-87d6-4d52-9071-1ce14a315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4800C-B11D-4505-9B8C-DB6E82252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F1CA0-3D45-46EA-95A4-D026C65E939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d7e1e7f1-87d6-4d52-9071-1ce14a315df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c4382c5-d464-490c-b296-e4c4b8ad8a95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SSPG25-26 Rubric</dc:title>
  <dc:subject>
  </dc:subject>
  <dc:creator>Lisa Liu</dc:creator>
  <keywords>
  </keywords>
  <dc:description>
  </dc:description>
  <lastModifiedBy>Lisa Liu</lastModifiedBy>
  <revision>16</revision>
  <dcterms:created xsi:type="dcterms:W3CDTF">2024-04-24T15:13:00.0000000Z</dcterms:created>
  <dcterms:modified xsi:type="dcterms:W3CDTF">2025-05-19T16:47:47Z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0x0101007CDC25271D951D44A2246248A0A598DA</vt:lpwstr>
  </property>
  <property fmtid="{D5CDD505-2E9C-101B-9397-08002B2CF9AE}" pid="3" name="MediaServiceImageTags">
    <vt:lpwstr/>
  </property>
</Properties>
</file>